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159F" w14:textId="77777777" w:rsidR="00B95FC3" w:rsidRDefault="00B95FC3" w:rsidP="00B95FC3">
      <w:pPr>
        <w:jc w:val="center"/>
        <w:rPr>
          <w:rFonts w:ascii="Times New Roman" w:eastAsia="Times New Roman" w:hAnsi="Times New Roman" w:cs="Times New Roman"/>
          <w:b/>
          <w:bCs/>
          <w:color w:val="000000"/>
        </w:rPr>
      </w:pPr>
    </w:p>
    <w:p w14:paraId="7C61D3DF" w14:textId="77777777" w:rsidR="00B95FC3" w:rsidRDefault="00B95FC3" w:rsidP="00B95FC3">
      <w:pPr>
        <w:jc w:val="center"/>
        <w:rPr>
          <w:rFonts w:ascii="Times New Roman" w:eastAsia="Times New Roman" w:hAnsi="Times New Roman" w:cs="Times New Roman"/>
          <w:b/>
          <w:bCs/>
          <w:color w:val="000000"/>
        </w:rPr>
      </w:pPr>
    </w:p>
    <w:p w14:paraId="2BC8CC8E" w14:textId="77777777" w:rsidR="00B95FC3" w:rsidRDefault="00B95FC3" w:rsidP="00B95FC3">
      <w:pPr>
        <w:jc w:val="center"/>
        <w:rPr>
          <w:rFonts w:ascii="Times New Roman" w:eastAsia="Times New Roman" w:hAnsi="Times New Roman" w:cs="Times New Roman"/>
          <w:b/>
          <w:bCs/>
          <w:color w:val="000000"/>
        </w:rPr>
      </w:pPr>
    </w:p>
    <w:p w14:paraId="5A42F50E" w14:textId="77777777" w:rsidR="00B95FC3" w:rsidRDefault="00B95FC3" w:rsidP="00B95FC3">
      <w:pPr>
        <w:jc w:val="center"/>
        <w:rPr>
          <w:rFonts w:ascii="Times New Roman" w:eastAsia="Times New Roman" w:hAnsi="Times New Roman" w:cs="Times New Roman"/>
          <w:b/>
          <w:bCs/>
          <w:color w:val="000000"/>
        </w:rPr>
      </w:pPr>
    </w:p>
    <w:p w14:paraId="3FC6FF3A" w14:textId="77777777" w:rsidR="00B95FC3" w:rsidRDefault="00B95FC3" w:rsidP="00B95FC3">
      <w:pPr>
        <w:spacing w:line="480" w:lineRule="auto"/>
        <w:jc w:val="center"/>
        <w:rPr>
          <w:rFonts w:ascii="Times New Roman" w:eastAsia="Times New Roman" w:hAnsi="Times New Roman" w:cs="Times New Roman"/>
          <w:b/>
          <w:bCs/>
          <w:color w:val="000000"/>
        </w:rPr>
      </w:pPr>
    </w:p>
    <w:p w14:paraId="632B3360" w14:textId="77777777" w:rsidR="00B95FC3" w:rsidRDefault="00B95FC3" w:rsidP="00B95FC3">
      <w:pPr>
        <w:spacing w:line="480" w:lineRule="auto"/>
        <w:jc w:val="center"/>
        <w:rPr>
          <w:rFonts w:ascii="Times New Roman" w:eastAsia="Times New Roman" w:hAnsi="Times New Roman" w:cs="Times New Roman"/>
          <w:b/>
          <w:bCs/>
          <w:color w:val="000000"/>
        </w:rPr>
      </w:pPr>
    </w:p>
    <w:p w14:paraId="7FE9D3A9" w14:textId="503A2F08"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000000"/>
        </w:rPr>
        <w:t>Counselor Awareness While Working with the Aging Population </w:t>
      </w:r>
    </w:p>
    <w:p w14:paraId="486A090F" w14:textId="77777777" w:rsidR="00B95FC3" w:rsidRPr="00B95FC3" w:rsidRDefault="00B95FC3" w:rsidP="00B95FC3">
      <w:pPr>
        <w:spacing w:line="480" w:lineRule="auto"/>
        <w:rPr>
          <w:rFonts w:ascii="Times New Roman" w:eastAsia="Times New Roman" w:hAnsi="Times New Roman" w:cs="Times New Roman"/>
          <w:color w:val="000000"/>
        </w:rPr>
      </w:pPr>
    </w:p>
    <w:p w14:paraId="26EA584C" w14:textId="77777777" w:rsidR="00B95FC3" w:rsidRPr="00B95FC3" w:rsidRDefault="00B95FC3" w:rsidP="00B95FC3">
      <w:pPr>
        <w:spacing w:line="480" w:lineRule="auto"/>
        <w:ind w:left="720"/>
        <w:jc w:val="center"/>
        <w:rPr>
          <w:rFonts w:ascii="Times New Roman" w:eastAsia="Times New Roman" w:hAnsi="Times New Roman" w:cs="Times New Roman"/>
          <w:color w:val="000000"/>
        </w:rPr>
      </w:pPr>
      <w:r w:rsidRPr="00B95FC3">
        <w:rPr>
          <w:rFonts w:ascii="Times New Roman" w:eastAsia="Times New Roman" w:hAnsi="Times New Roman" w:cs="Times New Roman"/>
          <w:color w:val="212121"/>
        </w:rPr>
        <w:t>Bianca Navarrete </w:t>
      </w:r>
    </w:p>
    <w:p w14:paraId="074A18E8" w14:textId="77777777" w:rsidR="00B95FC3" w:rsidRPr="00B95FC3" w:rsidRDefault="00B95FC3" w:rsidP="00B95FC3">
      <w:pPr>
        <w:spacing w:line="480" w:lineRule="auto"/>
        <w:ind w:left="720"/>
        <w:jc w:val="center"/>
        <w:rPr>
          <w:rFonts w:ascii="Times New Roman" w:eastAsia="Times New Roman" w:hAnsi="Times New Roman" w:cs="Times New Roman"/>
          <w:color w:val="000000"/>
        </w:rPr>
      </w:pPr>
      <w:r w:rsidRPr="00B95FC3">
        <w:rPr>
          <w:rFonts w:ascii="Times New Roman" w:eastAsia="Times New Roman" w:hAnsi="Times New Roman" w:cs="Times New Roman"/>
          <w:color w:val="212121"/>
        </w:rPr>
        <w:t>College of Humanities and Social Sciences, Grand Canyon University </w:t>
      </w:r>
    </w:p>
    <w:p w14:paraId="40AA1FB9" w14:textId="77777777" w:rsidR="00B95FC3" w:rsidRPr="00B95FC3" w:rsidRDefault="00B95FC3" w:rsidP="00B95FC3">
      <w:pPr>
        <w:spacing w:line="480" w:lineRule="auto"/>
        <w:ind w:left="720"/>
        <w:jc w:val="center"/>
        <w:rPr>
          <w:rFonts w:ascii="Times New Roman" w:eastAsia="Times New Roman" w:hAnsi="Times New Roman" w:cs="Times New Roman"/>
          <w:color w:val="000000"/>
        </w:rPr>
      </w:pPr>
      <w:r w:rsidRPr="00B95FC3">
        <w:rPr>
          <w:rFonts w:ascii="Times New Roman" w:eastAsia="Times New Roman" w:hAnsi="Times New Roman" w:cs="Times New Roman"/>
          <w:color w:val="212121"/>
        </w:rPr>
        <w:t>UNV-530: Human Sexuality and Issues of Aging </w:t>
      </w:r>
    </w:p>
    <w:p w14:paraId="598FD2D3" w14:textId="77777777" w:rsidR="00B95FC3" w:rsidRPr="00B95FC3" w:rsidRDefault="00B95FC3" w:rsidP="00B95FC3">
      <w:pPr>
        <w:spacing w:line="480" w:lineRule="auto"/>
        <w:ind w:left="720"/>
        <w:jc w:val="center"/>
        <w:rPr>
          <w:rFonts w:ascii="Times New Roman" w:eastAsia="Times New Roman" w:hAnsi="Times New Roman" w:cs="Times New Roman"/>
          <w:color w:val="000000"/>
        </w:rPr>
      </w:pPr>
      <w:r w:rsidRPr="00B95FC3">
        <w:rPr>
          <w:rFonts w:ascii="Times New Roman" w:eastAsia="Times New Roman" w:hAnsi="Times New Roman" w:cs="Times New Roman"/>
          <w:color w:val="212121"/>
        </w:rPr>
        <w:t>Dr. Smith </w:t>
      </w:r>
    </w:p>
    <w:p w14:paraId="7D97C197" w14:textId="77777777" w:rsidR="00B95FC3" w:rsidRPr="00B95FC3" w:rsidRDefault="00B95FC3" w:rsidP="00B95FC3">
      <w:pPr>
        <w:spacing w:line="480" w:lineRule="auto"/>
        <w:ind w:left="720"/>
        <w:jc w:val="center"/>
        <w:rPr>
          <w:rFonts w:ascii="Times New Roman" w:eastAsia="Times New Roman" w:hAnsi="Times New Roman" w:cs="Times New Roman"/>
          <w:color w:val="000000"/>
        </w:rPr>
      </w:pPr>
      <w:r w:rsidRPr="00B95FC3">
        <w:rPr>
          <w:rFonts w:ascii="Times New Roman" w:eastAsia="Times New Roman" w:hAnsi="Times New Roman" w:cs="Times New Roman"/>
          <w:color w:val="212121"/>
        </w:rPr>
        <w:t>5/22/2024</w:t>
      </w:r>
    </w:p>
    <w:p w14:paraId="41EAAEFF" w14:textId="3079424E" w:rsidR="00B95FC3" w:rsidRDefault="00B95FC3" w:rsidP="00B95FC3">
      <w:pPr>
        <w:spacing w:line="480" w:lineRule="auto"/>
        <w:rPr>
          <w:rFonts w:ascii="Times New Roman" w:eastAsia="Times New Roman" w:hAnsi="Times New Roman" w:cs="Times New Roman"/>
          <w:color w:val="000000"/>
        </w:rPr>
      </w:pPr>
    </w:p>
    <w:p w14:paraId="36F17378" w14:textId="67E780DB" w:rsidR="00B95FC3" w:rsidRDefault="00B95FC3" w:rsidP="00B95FC3">
      <w:pPr>
        <w:spacing w:line="480" w:lineRule="auto"/>
        <w:rPr>
          <w:rFonts w:ascii="Times New Roman" w:eastAsia="Times New Roman" w:hAnsi="Times New Roman" w:cs="Times New Roman"/>
          <w:color w:val="000000"/>
        </w:rPr>
      </w:pPr>
    </w:p>
    <w:p w14:paraId="37474F97" w14:textId="45C51B43" w:rsidR="00B95FC3" w:rsidRDefault="00B95FC3" w:rsidP="00B95FC3">
      <w:pPr>
        <w:spacing w:line="480" w:lineRule="auto"/>
        <w:rPr>
          <w:rFonts w:ascii="Times New Roman" w:eastAsia="Times New Roman" w:hAnsi="Times New Roman" w:cs="Times New Roman"/>
          <w:color w:val="000000"/>
        </w:rPr>
      </w:pPr>
    </w:p>
    <w:p w14:paraId="35B3B727" w14:textId="4A861687" w:rsidR="00B95FC3" w:rsidRDefault="00B95FC3" w:rsidP="00B95FC3">
      <w:pPr>
        <w:spacing w:line="480" w:lineRule="auto"/>
        <w:rPr>
          <w:rFonts w:ascii="Times New Roman" w:eastAsia="Times New Roman" w:hAnsi="Times New Roman" w:cs="Times New Roman"/>
          <w:color w:val="000000"/>
        </w:rPr>
      </w:pPr>
    </w:p>
    <w:p w14:paraId="151B1E33" w14:textId="4C62463F" w:rsidR="00B95FC3" w:rsidRDefault="00B95FC3" w:rsidP="00B95FC3">
      <w:pPr>
        <w:spacing w:line="480" w:lineRule="auto"/>
        <w:rPr>
          <w:rFonts w:ascii="Times New Roman" w:eastAsia="Times New Roman" w:hAnsi="Times New Roman" w:cs="Times New Roman"/>
          <w:color w:val="000000"/>
        </w:rPr>
      </w:pPr>
    </w:p>
    <w:p w14:paraId="712DAFCE" w14:textId="00BE78A3" w:rsidR="00B95FC3" w:rsidRDefault="00B95FC3" w:rsidP="00B95FC3">
      <w:pPr>
        <w:spacing w:line="480" w:lineRule="auto"/>
        <w:rPr>
          <w:rFonts w:ascii="Times New Roman" w:eastAsia="Times New Roman" w:hAnsi="Times New Roman" w:cs="Times New Roman"/>
          <w:color w:val="000000"/>
        </w:rPr>
      </w:pPr>
    </w:p>
    <w:p w14:paraId="2626B000" w14:textId="353ABEFA" w:rsidR="00B95FC3" w:rsidRDefault="00B95FC3" w:rsidP="00B95FC3">
      <w:pPr>
        <w:spacing w:line="480" w:lineRule="auto"/>
        <w:rPr>
          <w:rFonts w:ascii="Times New Roman" w:eastAsia="Times New Roman" w:hAnsi="Times New Roman" w:cs="Times New Roman"/>
          <w:color w:val="000000"/>
        </w:rPr>
      </w:pPr>
    </w:p>
    <w:p w14:paraId="29BD4D08" w14:textId="5E4103AF" w:rsidR="00B95FC3" w:rsidRDefault="00B95FC3" w:rsidP="00B95FC3">
      <w:pPr>
        <w:spacing w:line="480" w:lineRule="auto"/>
        <w:rPr>
          <w:rFonts w:ascii="Times New Roman" w:eastAsia="Times New Roman" w:hAnsi="Times New Roman" w:cs="Times New Roman"/>
          <w:color w:val="000000"/>
        </w:rPr>
      </w:pPr>
    </w:p>
    <w:p w14:paraId="7F37359D" w14:textId="0410B2E3" w:rsidR="00B95FC3" w:rsidRDefault="00B95FC3" w:rsidP="00B95FC3">
      <w:pPr>
        <w:spacing w:line="480" w:lineRule="auto"/>
        <w:rPr>
          <w:rFonts w:ascii="Times New Roman" w:eastAsia="Times New Roman" w:hAnsi="Times New Roman" w:cs="Times New Roman"/>
          <w:color w:val="000000"/>
        </w:rPr>
      </w:pPr>
    </w:p>
    <w:p w14:paraId="0FAB62D8" w14:textId="3CFBAAAC" w:rsidR="00B95FC3" w:rsidRDefault="00B95FC3" w:rsidP="00B95FC3">
      <w:pPr>
        <w:spacing w:line="480" w:lineRule="auto"/>
        <w:rPr>
          <w:rFonts w:ascii="Times New Roman" w:eastAsia="Times New Roman" w:hAnsi="Times New Roman" w:cs="Times New Roman"/>
          <w:color w:val="000000"/>
        </w:rPr>
      </w:pPr>
    </w:p>
    <w:p w14:paraId="1DCF56C9" w14:textId="36412FBE" w:rsidR="00B95FC3" w:rsidRDefault="00B95FC3" w:rsidP="00B95FC3">
      <w:pPr>
        <w:spacing w:line="480" w:lineRule="auto"/>
        <w:rPr>
          <w:rFonts w:ascii="Times New Roman" w:eastAsia="Times New Roman" w:hAnsi="Times New Roman" w:cs="Times New Roman"/>
          <w:color w:val="000000"/>
        </w:rPr>
      </w:pPr>
    </w:p>
    <w:p w14:paraId="7DD153E0" w14:textId="77777777" w:rsidR="00B95FC3" w:rsidRPr="00B95FC3" w:rsidRDefault="00B95FC3" w:rsidP="00B95FC3">
      <w:pPr>
        <w:spacing w:line="480" w:lineRule="auto"/>
        <w:rPr>
          <w:rFonts w:ascii="Times New Roman" w:eastAsia="Times New Roman" w:hAnsi="Times New Roman" w:cs="Times New Roman"/>
          <w:color w:val="000000"/>
        </w:rPr>
      </w:pPr>
    </w:p>
    <w:p w14:paraId="63485143"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lastRenderedPageBreak/>
        <w:t>Introduction </w:t>
      </w:r>
    </w:p>
    <w:p w14:paraId="6862755E" w14:textId="77777777" w:rsidR="00B95FC3" w:rsidRPr="00B95FC3" w:rsidRDefault="00B95FC3" w:rsidP="00B95FC3">
      <w:pPr>
        <w:spacing w:line="480" w:lineRule="auto"/>
        <w:ind w:firstLine="720"/>
        <w:rPr>
          <w:rFonts w:ascii="Times New Roman" w:eastAsia="Times New Roman" w:hAnsi="Times New Roman" w:cs="Times New Roman"/>
          <w:color w:val="000000"/>
        </w:rPr>
      </w:pPr>
      <w:r w:rsidRPr="00B95FC3">
        <w:rPr>
          <w:rFonts w:ascii="Times New Roman" w:eastAsia="Times New Roman" w:hAnsi="Times New Roman" w:cs="Times New Roman"/>
          <w:color w:val="212121"/>
        </w:rPr>
        <w:t>Aging populations have faced complex challenges ranging from chronic health conditions to age related geriatric syndromes. Many of these factors have been associated with environments. Behaviors, life choices and traumas that impact the wellbeing as one ages. It's crucial that as a society we continue to improve and promote health services that provide and address necessary means to support aging populations utilizing a holistic world view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In many indigenous communities, indigenous peoples have identified barriers and within western models that lack the necessary components needed to provide positive attitudes in life and resilience within aging populations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As professional counselors it's important to understand current issues in providing support to aging adults such as stereotypes and biases, physical and cognitive issues, treatment issues and lack of essential clinical competencies. </w:t>
      </w:r>
    </w:p>
    <w:p w14:paraId="243D84EC"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t>Common Stereotypes and Importance in Society </w:t>
      </w:r>
    </w:p>
    <w:p w14:paraId="796A136E" w14:textId="375D1733" w:rsidR="00B95FC3" w:rsidRPr="00B95FC3" w:rsidRDefault="00B95FC3" w:rsidP="00B95FC3">
      <w:pPr>
        <w:spacing w:line="480" w:lineRule="auto"/>
        <w:ind w:firstLine="720"/>
        <w:rPr>
          <w:rFonts w:ascii="Times New Roman" w:eastAsia="Times New Roman" w:hAnsi="Times New Roman" w:cs="Times New Roman"/>
          <w:color w:val="000000"/>
        </w:rPr>
      </w:pPr>
      <w:r w:rsidRPr="00B95FC3">
        <w:rPr>
          <w:rFonts w:ascii="Times New Roman" w:eastAsia="Times New Roman" w:hAnsi="Times New Roman" w:cs="Times New Roman"/>
          <w:color w:val="212121"/>
        </w:rPr>
        <w:t>Ageism towards aging adults have been faced with negative beliefs</w:t>
      </w:r>
      <w:r>
        <w:rPr>
          <w:rFonts w:ascii="Times New Roman" w:eastAsia="Times New Roman" w:hAnsi="Times New Roman" w:cs="Times New Roman"/>
          <w:color w:val="212121"/>
        </w:rPr>
        <w:t xml:space="preserve"> and </w:t>
      </w:r>
      <w:r w:rsidRPr="00B95FC3">
        <w:rPr>
          <w:rFonts w:ascii="Times New Roman" w:eastAsia="Times New Roman" w:hAnsi="Times New Roman" w:cs="Times New Roman"/>
          <w:color w:val="212121"/>
        </w:rPr>
        <w:t>attitudes</w:t>
      </w:r>
      <w:r>
        <w:rPr>
          <w:rFonts w:ascii="Times New Roman" w:eastAsia="Times New Roman" w:hAnsi="Times New Roman" w:cs="Times New Roman"/>
          <w:color w:val="212121"/>
        </w:rPr>
        <w:t xml:space="preserve"> </w:t>
      </w:r>
      <w:r w:rsidRPr="00B95FC3">
        <w:rPr>
          <w:rFonts w:ascii="Times New Roman" w:eastAsia="Times New Roman" w:hAnsi="Times New Roman" w:cs="Times New Roman"/>
          <w:color w:val="212121"/>
        </w:rPr>
        <w:t>based on stereotypical traits that focus on overgeneralizations based on negative contexts of aging. These behaviors have been examined as not only being “openly hostile” but also as making older adults as “invisible” implications of not having worthy of any attention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2022). Many have heard of agism in the context of the workplace where companies violate laws on penalizing older workers for making mistakes as younger workers but do not face the same consequences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2022). Harboring ageist attitudes and behaviors are crucial to understand especially when providing counseling services for older adults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xml:space="preserve">, 2022). In understanding the “terror management theory” one can examine these preconceived </w:t>
      </w:r>
      <w:r w:rsidRPr="00B95FC3">
        <w:rPr>
          <w:rFonts w:ascii="Times New Roman" w:eastAsia="Times New Roman" w:hAnsi="Times New Roman" w:cs="Times New Roman"/>
          <w:color w:val="212121"/>
        </w:rPr>
        <w:lastRenderedPageBreak/>
        <w:t xml:space="preserve">thoughts and behaviors by understanding  that people </w:t>
      </w:r>
      <w:proofErr w:type="gramStart"/>
      <w:r w:rsidRPr="00B95FC3">
        <w:rPr>
          <w:rFonts w:ascii="Times New Roman" w:eastAsia="Times New Roman" w:hAnsi="Times New Roman" w:cs="Times New Roman"/>
          <w:color w:val="212121"/>
        </w:rPr>
        <w:t>have fear</w:t>
      </w:r>
      <w:proofErr w:type="gramEnd"/>
      <w:r w:rsidRPr="00B95FC3">
        <w:rPr>
          <w:rFonts w:ascii="Times New Roman" w:eastAsia="Times New Roman" w:hAnsi="Times New Roman" w:cs="Times New Roman"/>
          <w:color w:val="212121"/>
        </w:rPr>
        <w:t xml:space="preserve"> of aging and panic about their lives coming to an end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2022). </w:t>
      </w:r>
    </w:p>
    <w:p w14:paraId="75786E79"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t>Aging Stereotypes Affecting Personal Beliefs</w:t>
      </w:r>
    </w:p>
    <w:p w14:paraId="2833208E" w14:textId="1747F75F" w:rsidR="00B95FC3" w:rsidRPr="00B95FC3" w:rsidRDefault="00B95FC3" w:rsidP="00B95FC3">
      <w:pPr>
        <w:spacing w:line="480" w:lineRule="auto"/>
        <w:rPr>
          <w:rFonts w:ascii="Times New Roman" w:eastAsia="Times New Roman" w:hAnsi="Times New Roman" w:cs="Times New Roman"/>
          <w:color w:val="000000"/>
        </w:rPr>
      </w:pPr>
      <w:r w:rsidRPr="00B95FC3">
        <w:rPr>
          <w:rFonts w:ascii="Times New Roman" w:eastAsia="Times New Roman" w:hAnsi="Times New Roman" w:cs="Times New Roman"/>
          <w:color w:val="212121"/>
        </w:rPr>
        <w:tab/>
        <w:t>In learning various causes of agism such as the terror management theory, modernization hypothesis and age-as-level view, I have gained the perspectives of western modeled ageism misconceptions(</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xml:space="preserve">). Conversely, when examining older adults in indigenous populations hold a holistic world view embodying spiritual, physical and mental </w:t>
      </w:r>
      <w:r w:rsidRPr="00B95FC3">
        <w:rPr>
          <w:rFonts w:ascii="Times New Roman" w:eastAsia="Times New Roman" w:hAnsi="Times New Roman" w:cs="Times New Roman"/>
          <w:color w:val="212121"/>
        </w:rPr>
        <w:t>well-being</w:t>
      </w:r>
      <w:r w:rsidRPr="00B95FC3">
        <w:rPr>
          <w:rFonts w:ascii="Times New Roman" w:eastAsia="Times New Roman" w:hAnsi="Times New Roman" w:cs="Times New Roman"/>
          <w:color w:val="212121"/>
        </w:rPr>
        <w:t xml:space="preserve"> through connections, locations and culture is critical(</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xml:space="preserve">. Although many determents are present such as the impacts of </w:t>
      </w:r>
      <w:r w:rsidRPr="00B95FC3">
        <w:rPr>
          <w:rFonts w:ascii="Times New Roman" w:eastAsia="Times New Roman" w:hAnsi="Times New Roman" w:cs="Times New Roman"/>
          <w:color w:val="212121"/>
        </w:rPr>
        <w:t>colonization’s</w:t>
      </w:r>
      <w:r w:rsidRPr="00B95FC3">
        <w:rPr>
          <w:rFonts w:ascii="Times New Roman" w:eastAsia="Times New Roman" w:hAnsi="Times New Roman" w:cs="Times New Roman"/>
          <w:color w:val="212121"/>
        </w:rPr>
        <w:t xml:space="preserve">, lack of access to housing, resources and adequate nutrition </w:t>
      </w:r>
      <w:proofErr w:type="gramStart"/>
      <w:r w:rsidRPr="00B95FC3">
        <w:rPr>
          <w:rFonts w:ascii="Times New Roman" w:eastAsia="Times New Roman" w:hAnsi="Times New Roman" w:cs="Times New Roman"/>
          <w:color w:val="212121"/>
        </w:rPr>
        <w:t>still continue</w:t>
      </w:r>
      <w:proofErr w:type="gramEnd"/>
      <w:r w:rsidRPr="00B95FC3">
        <w:rPr>
          <w:rFonts w:ascii="Times New Roman" w:eastAsia="Times New Roman" w:hAnsi="Times New Roman" w:cs="Times New Roman"/>
          <w:color w:val="212121"/>
        </w:rPr>
        <w:t xml:space="preserve"> to challenge the ability in “aging well”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Through one's personal worldview lens, it's important to examine one's views and beliefs to educate oneself preconceived stereotypes and limiting beliefs that can impact how one would view others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xml:space="preserve">. This can be explored through increased </w:t>
      </w:r>
      <w:proofErr w:type="spellStart"/>
      <w:r w:rsidRPr="00B95FC3">
        <w:rPr>
          <w:rFonts w:ascii="Times New Roman" w:eastAsia="Times New Roman" w:hAnsi="Times New Roman" w:cs="Times New Roman"/>
          <w:color w:val="212121"/>
        </w:rPr>
        <w:t>self awareness</w:t>
      </w:r>
      <w:proofErr w:type="spellEnd"/>
      <w:r w:rsidRPr="00B95FC3">
        <w:rPr>
          <w:rFonts w:ascii="Times New Roman" w:eastAsia="Times New Roman" w:hAnsi="Times New Roman" w:cs="Times New Roman"/>
          <w:color w:val="212121"/>
        </w:rPr>
        <w:t xml:space="preserve"> in learning issues that arise with older adults and limitations in aged care services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In embodying a holistic lens when working with aging adults one can provide the necessary counseling care and treatment through awareness of limitations and societal contributions towards aging stereotypes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w:t>
      </w:r>
    </w:p>
    <w:p w14:paraId="4C74A028"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t>Physical and Cognitive Issues in Aging Adults  </w:t>
      </w:r>
    </w:p>
    <w:p w14:paraId="3130FDB1" w14:textId="2D0D4402" w:rsidR="00B95FC3" w:rsidRPr="00B95FC3" w:rsidRDefault="00B95FC3" w:rsidP="00B95FC3">
      <w:pPr>
        <w:spacing w:line="480" w:lineRule="auto"/>
        <w:ind w:firstLine="720"/>
        <w:rPr>
          <w:rFonts w:ascii="Times New Roman" w:eastAsia="Times New Roman" w:hAnsi="Times New Roman" w:cs="Times New Roman"/>
          <w:color w:val="000000"/>
        </w:rPr>
      </w:pPr>
      <w:r w:rsidRPr="00B95FC3">
        <w:rPr>
          <w:rFonts w:ascii="Times New Roman" w:eastAsia="Times New Roman" w:hAnsi="Times New Roman" w:cs="Times New Roman"/>
          <w:color w:val="212121"/>
        </w:rPr>
        <w:t>Throughout the decades adult aging research has evolved in incorporating developmental psychology focusing on embracing middle and later years through contextual influences.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xml:space="preserve">). Such key contexts involving one's sex, ethnicity, race, social class, religion, </w:t>
      </w:r>
      <w:proofErr w:type="gramStart"/>
      <w:r w:rsidRPr="00B95FC3">
        <w:rPr>
          <w:rFonts w:ascii="Times New Roman" w:eastAsia="Times New Roman" w:hAnsi="Times New Roman" w:cs="Times New Roman"/>
          <w:color w:val="212121"/>
        </w:rPr>
        <w:t>income</w:t>
      </w:r>
      <w:proofErr w:type="gramEnd"/>
      <w:r w:rsidRPr="00B95FC3">
        <w:rPr>
          <w:rFonts w:ascii="Times New Roman" w:eastAsia="Times New Roman" w:hAnsi="Times New Roman" w:cs="Times New Roman"/>
          <w:color w:val="212121"/>
        </w:rPr>
        <w:t xml:space="preserve"> and culture are crucial components in developmental science to understand neuroscience and brain-behavior relationships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xml:space="preserve">). Specifically in examining </w:t>
      </w:r>
      <w:r w:rsidRPr="00B95FC3">
        <w:rPr>
          <w:rFonts w:ascii="Times New Roman" w:eastAsia="Times New Roman" w:hAnsi="Times New Roman" w:cs="Times New Roman"/>
          <w:color w:val="212121"/>
        </w:rPr>
        <w:lastRenderedPageBreak/>
        <w:t xml:space="preserve">theories of aging have examined both physical and cognitive issues impacted through various aging effects. Chronic illnesses </w:t>
      </w:r>
      <w:r w:rsidRPr="00B95FC3">
        <w:rPr>
          <w:rFonts w:ascii="Times New Roman" w:eastAsia="Times New Roman" w:hAnsi="Times New Roman" w:cs="Times New Roman"/>
          <w:color w:val="212121"/>
        </w:rPr>
        <w:t>have</w:t>
      </w:r>
      <w:r w:rsidRPr="00B95FC3">
        <w:rPr>
          <w:rFonts w:ascii="Times New Roman" w:eastAsia="Times New Roman" w:hAnsi="Times New Roman" w:cs="Times New Roman"/>
          <w:color w:val="212121"/>
        </w:rPr>
        <w:t xml:space="preserve"> significantly shown results in interfering with the quality of the “normal age-related” process involving changes in both physical and cognitive illnesses and diseases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In utilizing the biopsychological model has helped examine through assessments such as activities of daily living (ADL) and instrumental activities of daily living (IADL)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Health Prevention is crucial in understanding biological and behavioral risk factors involving diseases and death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Prevention treatment has benefited many aging adults in seeking the necessary care and treatment to help with contributing causes such as emotional stress, environmental toxins, and harmful substances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xml:space="preserve">). Neurocognitive disorders have also interfered with the normal aging health changes causing issues with daily activities due to illnesses such as dementia, </w:t>
      </w:r>
      <w:proofErr w:type="spellStart"/>
      <w:r w:rsidRPr="00B95FC3">
        <w:rPr>
          <w:rFonts w:ascii="Times New Roman" w:eastAsia="Times New Roman" w:hAnsi="Times New Roman" w:cs="Times New Roman"/>
          <w:color w:val="212121"/>
        </w:rPr>
        <w:t>alzheimers</w:t>
      </w:r>
      <w:proofErr w:type="spellEnd"/>
      <w:r w:rsidRPr="00B95FC3">
        <w:rPr>
          <w:rFonts w:ascii="Times New Roman" w:eastAsia="Times New Roman" w:hAnsi="Times New Roman" w:cs="Times New Roman"/>
          <w:color w:val="212121"/>
        </w:rPr>
        <w:t>,</w:t>
      </w:r>
      <w:r>
        <w:rPr>
          <w:rFonts w:ascii="Times New Roman" w:eastAsia="Times New Roman" w:hAnsi="Times New Roman" w:cs="Times New Roman"/>
          <w:color w:val="212121"/>
        </w:rPr>
        <w:t xml:space="preserve"> </w:t>
      </w:r>
      <w:r w:rsidRPr="00B95FC3">
        <w:rPr>
          <w:rFonts w:ascii="Times New Roman" w:eastAsia="Times New Roman" w:hAnsi="Times New Roman" w:cs="Times New Roman"/>
          <w:color w:val="212121"/>
        </w:rPr>
        <w:t>cognitive impairments and other neurological systemic issues (</w:t>
      </w:r>
      <w:proofErr w:type="spellStart"/>
      <w:r w:rsidRPr="00B95FC3">
        <w:rPr>
          <w:rFonts w:ascii="Times New Roman" w:eastAsia="Times New Roman" w:hAnsi="Times New Roman" w:cs="Times New Roman"/>
          <w:color w:val="212121"/>
        </w:rPr>
        <w:t>L</w:t>
      </w:r>
      <w:r>
        <w:rPr>
          <w:rFonts w:ascii="Times New Roman" w:eastAsia="Times New Roman" w:hAnsi="Times New Roman" w:cs="Times New Roman"/>
          <w:color w:val="212121"/>
        </w:rPr>
        <w:t>ehmiller</w:t>
      </w:r>
      <w:proofErr w:type="spellEnd"/>
      <w:r>
        <w:rPr>
          <w:rFonts w:ascii="Times New Roman" w:eastAsia="Times New Roman" w:hAnsi="Times New Roman" w:cs="Times New Roman"/>
          <w:color w:val="212121"/>
        </w:rPr>
        <w:t xml:space="preserve"> et al., 2021</w:t>
      </w:r>
      <w:r w:rsidRPr="00B95FC3">
        <w:rPr>
          <w:rFonts w:ascii="Times New Roman" w:eastAsia="Times New Roman" w:hAnsi="Times New Roman" w:cs="Times New Roman"/>
          <w:color w:val="212121"/>
        </w:rPr>
        <w:t>). </w:t>
      </w:r>
    </w:p>
    <w:p w14:paraId="3F813D00"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t>Mental Health Treatment Issues </w:t>
      </w:r>
    </w:p>
    <w:p w14:paraId="5C0E10B3" w14:textId="00E02030" w:rsidR="00B95FC3" w:rsidRPr="00B95FC3" w:rsidRDefault="00B95FC3" w:rsidP="00B95FC3">
      <w:pPr>
        <w:spacing w:line="480" w:lineRule="auto"/>
        <w:ind w:firstLine="720"/>
        <w:rPr>
          <w:rFonts w:ascii="Times New Roman" w:eastAsia="Times New Roman" w:hAnsi="Times New Roman" w:cs="Times New Roman"/>
          <w:color w:val="000000"/>
        </w:rPr>
      </w:pPr>
      <w:r w:rsidRPr="00B95FC3">
        <w:rPr>
          <w:rFonts w:ascii="Times New Roman" w:eastAsia="Times New Roman" w:hAnsi="Times New Roman" w:cs="Times New Roman"/>
          <w:color w:val="212121"/>
        </w:rPr>
        <w:t xml:space="preserve">In certain older adult patients who experience severe cognitive impairments such as dementia, </w:t>
      </w:r>
      <w:proofErr w:type="gramStart"/>
      <w:r w:rsidRPr="00B95FC3">
        <w:rPr>
          <w:rFonts w:ascii="Times New Roman" w:eastAsia="Times New Roman" w:hAnsi="Times New Roman" w:cs="Times New Roman"/>
          <w:color w:val="212121"/>
        </w:rPr>
        <w:t>delirium</w:t>
      </w:r>
      <w:proofErr w:type="gramEnd"/>
      <w:r w:rsidRPr="00B95FC3">
        <w:rPr>
          <w:rFonts w:ascii="Times New Roman" w:eastAsia="Times New Roman" w:hAnsi="Times New Roman" w:cs="Times New Roman"/>
          <w:color w:val="212121"/>
        </w:rPr>
        <w:t xml:space="preserve"> and other mental illnesses, it's important to review the </w:t>
      </w:r>
      <w:r w:rsidRPr="00B95FC3">
        <w:rPr>
          <w:rFonts w:ascii="Times New Roman" w:eastAsia="Times New Roman" w:hAnsi="Times New Roman" w:cs="Times New Roman"/>
          <w:color w:val="212121"/>
        </w:rPr>
        <w:t>client’s</w:t>
      </w:r>
      <w:r w:rsidRPr="00B95FC3">
        <w:rPr>
          <w:rFonts w:ascii="Times New Roman" w:eastAsia="Times New Roman" w:hAnsi="Times New Roman" w:cs="Times New Roman"/>
          <w:color w:val="212121"/>
        </w:rPr>
        <w:t xml:space="preserve"> range of severity and incapacity for decision making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xml:space="preserve">, 2022). Proper assessment must take place in reaching a proper balance in respecting the client's autonomy and the </w:t>
      </w:r>
      <w:r w:rsidRPr="00B95FC3">
        <w:rPr>
          <w:rFonts w:ascii="Times New Roman" w:eastAsia="Times New Roman" w:hAnsi="Times New Roman" w:cs="Times New Roman"/>
          <w:color w:val="212121"/>
        </w:rPr>
        <w:t>client’s</w:t>
      </w:r>
      <w:r w:rsidRPr="00B95FC3">
        <w:rPr>
          <w:rFonts w:ascii="Times New Roman" w:eastAsia="Times New Roman" w:hAnsi="Times New Roman" w:cs="Times New Roman"/>
          <w:color w:val="212121"/>
        </w:rPr>
        <w:t xml:space="preserve"> treatment plan that is in the </w:t>
      </w:r>
      <w:proofErr w:type="gramStart"/>
      <w:r w:rsidRPr="00B95FC3">
        <w:rPr>
          <w:rFonts w:ascii="Times New Roman" w:eastAsia="Times New Roman" w:hAnsi="Times New Roman" w:cs="Times New Roman"/>
          <w:color w:val="212121"/>
        </w:rPr>
        <w:t>clients</w:t>
      </w:r>
      <w:proofErr w:type="gramEnd"/>
      <w:r w:rsidRPr="00B95FC3">
        <w:rPr>
          <w:rFonts w:ascii="Times New Roman" w:eastAsia="Times New Roman" w:hAnsi="Times New Roman" w:cs="Times New Roman"/>
          <w:color w:val="212121"/>
        </w:rPr>
        <w:t xml:space="preserve"> best interests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xml:space="preserve">, 2022). A study performed at </w:t>
      </w:r>
      <w:proofErr w:type="spellStart"/>
      <w:r w:rsidRPr="00B95FC3">
        <w:rPr>
          <w:rFonts w:ascii="Times New Roman" w:eastAsia="Times New Roman" w:hAnsi="Times New Roman" w:cs="Times New Roman"/>
          <w:color w:val="212121"/>
        </w:rPr>
        <w:t>Weskoppies</w:t>
      </w:r>
      <w:proofErr w:type="spellEnd"/>
      <w:r w:rsidRPr="00B95FC3">
        <w:rPr>
          <w:rFonts w:ascii="Times New Roman" w:eastAsia="Times New Roman" w:hAnsi="Times New Roman" w:cs="Times New Roman"/>
          <w:color w:val="212121"/>
        </w:rPr>
        <w:t xml:space="preserve"> Hospital found that out of 100 patients over the age of 60 years were diagnosed with severe mental illnesses that included schizophrenia, major depressive </w:t>
      </w:r>
      <w:proofErr w:type="gramStart"/>
      <w:r w:rsidRPr="00B95FC3">
        <w:rPr>
          <w:rFonts w:ascii="Times New Roman" w:eastAsia="Times New Roman" w:hAnsi="Times New Roman" w:cs="Times New Roman"/>
          <w:color w:val="212121"/>
        </w:rPr>
        <w:t>disorder</w:t>
      </w:r>
      <w:proofErr w:type="gramEnd"/>
      <w:r w:rsidRPr="00B95FC3">
        <w:rPr>
          <w:rFonts w:ascii="Times New Roman" w:eastAsia="Times New Roman" w:hAnsi="Times New Roman" w:cs="Times New Roman"/>
          <w:color w:val="212121"/>
        </w:rPr>
        <w:t xml:space="preserve"> and bipolar disorder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xml:space="preserve">, 2022). In an appropriate clinical setting and following the appropriate ethical considerations in their </w:t>
      </w:r>
      <w:r w:rsidRPr="00B95FC3">
        <w:rPr>
          <w:rFonts w:ascii="Times New Roman" w:eastAsia="Times New Roman" w:hAnsi="Times New Roman" w:cs="Times New Roman"/>
          <w:color w:val="212121"/>
        </w:rPr>
        <w:t>decision-making</w:t>
      </w:r>
      <w:r w:rsidRPr="00B95FC3">
        <w:rPr>
          <w:rFonts w:ascii="Times New Roman" w:eastAsia="Times New Roman" w:hAnsi="Times New Roman" w:cs="Times New Roman"/>
          <w:color w:val="212121"/>
        </w:rPr>
        <w:t xml:space="preserve"> capacity could discuss engagement in end-of-life treatment that best fit their treatment preference and values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xml:space="preserve">, 2022). Other </w:t>
      </w:r>
      <w:r w:rsidRPr="00B95FC3">
        <w:rPr>
          <w:rFonts w:ascii="Times New Roman" w:eastAsia="Times New Roman" w:hAnsi="Times New Roman" w:cs="Times New Roman"/>
          <w:color w:val="212121"/>
        </w:rPr>
        <w:lastRenderedPageBreak/>
        <w:t>essential treatment plans could be difficult due to the lack of having palliative care available for these patient populations with serious mental illnesses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2022). Having a multidisciplinary team to collaborate with the patient can protect the client , to engage in treatment and maintain possible adequate self-care (</w:t>
      </w:r>
      <w:proofErr w:type="spellStart"/>
      <w:r w:rsidRPr="00B95FC3">
        <w:rPr>
          <w:rFonts w:ascii="Times New Roman" w:eastAsia="Times New Roman" w:hAnsi="Times New Roman" w:cs="Times New Roman"/>
          <w:color w:val="212121"/>
        </w:rPr>
        <w:t>Kozote</w:t>
      </w:r>
      <w:proofErr w:type="spellEnd"/>
      <w:r w:rsidRPr="00B95FC3">
        <w:rPr>
          <w:rFonts w:ascii="Times New Roman" w:eastAsia="Times New Roman" w:hAnsi="Times New Roman" w:cs="Times New Roman"/>
          <w:color w:val="212121"/>
        </w:rPr>
        <w:t xml:space="preserve"> &amp; </w:t>
      </w:r>
      <w:proofErr w:type="spellStart"/>
      <w:r w:rsidRPr="00B95FC3">
        <w:rPr>
          <w:rFonts w:ascii="Times New Roman" w:eastAsia="Times New Roman" w:hAnsi="Times New Roman" w:cs="Times New Roman"/>
          <w:color w:val="212121"/>
        </w:rPr>
        <w:t>Roos</w:t>
      </w:r>
      <w:proofErr w:type="spellEnd"/>
      <w:r w:rsidRPr="00B95FC3">
        <w:rPr>
          <w:rFonts w:ascii="Times New Roman" w:eastAsia="Times New Roman" w:hAnsi="Times New Roman" w:cs="Times New Roman"/>
          <w:color w:val="212121"/>
        </w:rPr>
        <w:t>, 2022). </w:t>
      </w:r>
    </w:p>
    <w:p w14:paraId="22A38BDB" w14:textId="77777777"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t>Conclusion </w:t>
      </w:r>
    </w:p>
    <w:p w14:paraId="77390874" w14:textId="7F43699C" w:rsidR="00B95FC3" w:rsidRPr="00B95FC3" w:rsidRDefault="00B95FC3" w:rsidP="00B95FC3">
      <w:pPr>
        <w:spacing w:line="480" w:lineRule="auto"/>
        <w:rPr>
          <w:rFonts w:ascii="Times New Roman" w:eastAsia="Times New Roman" w:hAnsi="Times New Roman" w:cs="Times New Roman"/>
          <w:color w:val="000000"/>
        </w:rPr>
      </w:pPr>
      <w:r w:rsidRPr="00B95FC3">
        <w:rPr>
          <w:rFonts w:ascii="Times New Roman" w:eastAsia="Times New Roman" w:hAnsi="Times New Roman" w:cs="Times New Roman"/>
          <w:color w:val="212121"/>
        </w:rPr>
        <w:tab/>
        <w:t xml:space="preserve">Providing the necessary care when working with older adults requires necessary competencies and training revolving from various physical and psychological issues requiring appropriate evidence care treatments (APA, 2014). Having the competencies in identifying mental health differences from normal aging changes can help professional counselors to modify and share the appropriate treatment while focusing on strengthening the client patient relationship (APA, 2014). Utilizing a holistic world view and </w:t>
      </w:r>
      <w:r w:rsidRPr="00B95FC3">
        <w:rPr>
          <w:rFonts w:ascii="Times New Roman" w:eastAsia="Times New Roman" w:hAnsi="Times New Roman" w:cs="Times New Roman"/>
          <w:color w:val="212121"/>
        </w:rPr>
        <w:t>person-centered</w:t>
      </w:r>
      <w:r w:rsidRPr="00B95FC3">
        <w:rPr>
          <w:rFonts w:ascii="Times New Roman" w:eastAsia="Times New Roman" w:hAnsi="Times New Roman" w:cs="Times New Roman"/>
          <w:color w:val="212121"/>
        </w:rPr>
        <w:t xml:space="preserve"> approaches can help with </w:t>
      </w:r>
      <w:r w:rsidRPr="00B95FC3">
        <w:rPr>
          <w:rFonts w:ascii="Times New Roman" w:eastAsia="Times New Roman" w:hAnsi="Times New Roman" w:cs="Times New Roman"/>
          <w:color w:val="212121"/>
        </w:rPr>
        <w:t>self-awareness</w:t>
      </w:r>
      <w:r w:rsidRPr="00B95FC3">
        <w:rPr>
          <w:rFonts w:ascii="Times New Roman" w:eastAsia="Times New Roman" w:hAnsi="Times New Roman" w:cs="Times New Roman"/>
          <w:color w:val="212121"/>
        </w:rPr>
        <w:t xml:space="preserve"> of inaccurate stereotypes that contribute to negative biases towards older adults (</w:t>
      </w:r>
      <w:r w:rsidRPr="00B95FC3">
        <w:rPr>
          <w:rFonts w:ascii="Times New Roman" w:eastAsia="Times New Roman" w:hAnsi="Times New Roman" w:cs="Times New Roman"/>
          <w:color w:val="212121"/>
          <w:shd w:val="clear" w:color="auto" w:fill="FFFFFF"/>
        </w:rPr>
        <w:t>Quigley et al., 2022)</w:t>
      </w:r>
      <w:r w:rsidRPr="00B95FC3">
        <w:rPr>
          <w:rFonts w:ascii="Times New Roman" w:eastAsia="Times New Roman" w:hAnsi="Times New Roman" w:cs="Times New Roman"/>
          <w:color w:val="212121"/>
        </w:rPr>
        <w:t>. Having a deeper empathic understanding through a holistic lens can be helpful in identifying “professional blind spots” lacking the awareness, sensitivity , cultural beliefs, and mental health disparities that are crucial in providing counseling treatment (APA,</w:t>
      </w:r>
      <w:r>
        <w:rPr>
          <w:rFonts w:ascii="Times New Roman" w:eastAsia="Times New Roman" w:hAnsi="Times New Roman" w:cs="Times New Roman"/>
          <w:color w:val="212121"/>
        </w:rPr>
        <w:t xml:space="preserve">  </w:t>
      </w:r>
      <w:r w:rsidRPr="00B95FC3">
        <w:rPr>
          <w:rFonts w:ascii="Times New Roman" w:eastAsia="Times New Roman" w:hAnsi="Times New Roman" w:cs="Times New Roman"/>
          <w:color w:val="212121"/>
        </w:rPr>
        <w:t>2014). </w:t>
      </w:r>
    </w:p>
    <w:p w14:paraId="6206374F" w14:textId="16188E84" w:rsidR="00B95FC3" w:rsidRDefault="00B95FC3" w:rsidP="00B95FC3">
      <w:pPr>
        <w:spacing w:after="240" w:line="480" w:lineRule="auto"/>
        <w:jc w:val="center"/>
        <w:rPr>
          <w:rFonts w:ascii="Times New Roman" w:eastAsia="Times New Roman" w:hAnsi="Times New Roman" w:cs="Times New Roman"/>
          <w:color w:val="000000"/>
        </w:rPr>
      </w:pPr>
      <w:r w:rsidRPr="00B95FC3">
        <w:rPr>
          <w:rFonts w:ascii="Times New Roman" w:eastAsia="Times New Roman" w:hAnsi="Times New Roman" w:cs="Times New Roman"/>
          <w:color w:val="000000"/>
        </w:rPr>
        <w:br/>
      </w:r>
      <w:r w:rsidRPr="00B95FC3">
        <w:rPr>
          <w:rFonts w:ascii="Times New Roman" w:eastAsia="Times New Roman" w:hAnsi="Times New Roman" w:cs="Times New Roman"/>
          <w:color w:val="000000"/>
        </w:rPr>
        <w:br/>
      </w:r>
      <w:r w:rsidRPr="00B95FC3">
        <w:rPr>
          <w:rFonts w:ascii="Times New Roman" w:eastAsia="Times New Roman" w:hAnsi="Times New Roman" w:cs="Times New Roman"/>
          <w:color w:val="000000"/>
        </w:rPr>
        <w:br/>
      </w:r>
      <w:r w:rsidRPr="00B95FC3">
        <w:rPr>
          <w:rFonts w:ascii="Times New Roman" w:eastAsia="Times New Roman" w:hAnsi="Times New Roman" w:cs="Times New Roman"/>
          <w:color w:val="000000"/>
        </w:rPr>
        <w:br/>
      </w:r>
    </w:p>
    <w:p w14:paraId="472025F6" w14:textId="094FC849" w:rsidR="00B95FC3" w:rsidRDefault="00B95FC3" w:rsidP="00B95FC3">
      <w:pPr>
        <w:spacing w:after="240" w:line="480" w:lineRule="auto"/>
        <w:jc w:val="center"/>
        <w:rPr>
          <w:rFonts w:ascii="Times New Roman" w:eastAsia="Times New Roman" w:hAnsi="Times New Roman" w:cs="Times New Roman"/>
          <w:b/>
          <w:bCs/>
          <w:color w:val="000000"/>
        </w:rPr>
      </w:pPr>
    </w:p>
    <w:p w14:paraId="54C35A4E" w14:textId="77777777" w:rsidR="00B95FC3" w:rsidRPr="00B95FC3" w:rsidRDefault="00B95FC3" w:rsidP="00B95FC3">
      <w:pPr>
        <w:spacing w:after="240" w:line="480" w:lineRule="auto"/>
        <w:jc w:val="center"/>
        <w:rPr>
          <w:rFonts w:ascii="Times New Roman" w:eastAsia="Times New Roman" w:hAnsi="Times New Roman" w:cs="Times New Roman"/>
          <w:b/>
          <w:bCs/>
          <w:color w:val="000000"/>
        </w:rPr>
      </w:pPr>
    </w:p>
    <w:p w14:paraId="2384C491" w14:textId="732B0C05" w:rsidR="00B95FC3" w:rsidRPr="00B95FC3" w:rsidRDefault="00B95FC3" w:rsidP="00B95FC3">
      <w:pPr>
        <w:spacing w:line="480" w:lineRule="auto"/>
        <w:jc w:val="center"/>
        <w:rPr>
          <w:rFonts w:ascii="Times New Roman" w:eastAsia="Times New Roman" w:hAnsi="Times New Roman" w:cs="Times New Roman"/>
          <w:b/>
          <w:bCs/>
          <w:color w:val="000000"/>
        </w:rPr>
      </w:pPr>
      <w:r w:rsidRPr="00B95FC3">
        <w:rPr>
          <w:rFonts w:ascii="Times New Roman" w:eastAsia="Times New Roman" w:hAnsi="Times New Roman" w:cs="Times New Roman"/>
          <w:b/>
          <w:bCs/>
          <w:color w:val="212121"/>
        </w:rPr>
        <w:lastRenderedPageBreak/>
        <w:t>References</w:t>
      </w:r>
    </w:p>
    <w:p w14:paraId="3775B39C" w14:textId="77777777" w:rsidR="00B95FC3" w:rsidRPr="00B95FC3" w:rsidRDefault="00B95FC3" w:rsidP="00B95FC3">
      <w:pPr>
        <w:spacing w:line="480" w:lineRule="auto"/>
        <w:ind w:left="720" w:hanging="720"/>
        <w:rPr>
          <w:rFonts w:ascii="Times New Roman" w:eastAsia="Times New Roman" w:hAnsi="Times New Roman" w:cs="Times New Roman"/>
          <w:color w:val="000000"/>
        </w:rPr>
      </w:pPr>
      <w:r w:rsidRPr="00B95FC3">
        <w:rPr>
          <w:rFonts w:ascii="Times New Roman" w:eastAsia="Times New Roman" w:hAnsi="Times New Roman" w:cs="Times New Roman"/>
          <w:color w:val="212121"/>
          <w:shd w:val="clear" w:color="auto" w:fill="FFFFFF"/>
        </w:rPr>
        <w:t xml:space="preserve">American Psychology Association. (2014). Working With Older Adults. </w:t>
      </w:r>
      <w:r w:rsidRPr="00B95FC3">
        <w:rPr>
          <w:rFonts w:ascii="Times New Roman" w:eastAsia="Times New Roman" w:hAnsi="Times New Roman" w:cs="Times New Roman"/>
          <w:i/>
          <w:iCs/>
          <w:color w:val="212121"/>
          <w:shd w:val="clear" w:color="auto" w:fill="FFFFFF"/>
        </w:rPr>
        <w:t>What Mental Health Providers Should  Know</w:t>
      </w:r>
      <w:r w:rsidRPr="00B95FC3">
        <w:rPr>
          <w:rFonts w:ascii="Times New Roman" w:eastAsia="Times New Roman" w:hAnsi="Times New Roman" w:cs="Times New Roman"/>
          <w:color w:val="212121"/>
          <w:shd w:val="clear" w:color="auto" w:fill="FFFFFF"/>
        </w:rPr>
        <w:t xml:space="preserve">.   </w:t>
      </w:r>
      <w:hyperlink r:id="rId4" w:history="1">
        <w:r w:rsidRPr="00B95FC3">
          <w:rPr>
            <w:rFonts w:ascii="Times New Roman" w:eastAsia="Times New Roman" w:hAnsi="Times New Roman" w:cs="Times New Roman"/>
            <w:color w:val="1155CC"/>
            <w:u w:val="single"/>
            <w:shd w:val="clear" w:color="auto" w:fill="FFFFFF"/>
          </w:rPr>
          <w:t>https://www.apa.org/pi/aging/resources/guides/practitioners-should-know</w:t>
        </w:r>
      </w:hyperlink>
    </w:p>
    <w:p w14:paraId="397845B5" w14:textId="77777777" w:rsidR="00B95FC3" w:rsidRPr="00B95FC3" w:rsidRDefault="00B95FC3" w:rsidP="00B95FC3">
      <w:pPr>
        <w:spacing w:line="480" w:lineRule="auto"/>
        <w:ind w:left="720" w:hanging="720"/>
        <w:rPr>
          <w:rFonts w:ascii="Times New Roman" w:eastAsia="Times New Roman" w:hAnsi="Times New Roman" w:cs="Times New Roman"/>
          <w:color w:val="000000"/>
        </w:rPr>
      </w:pPr>
      <w:proofErr w:type="spellStart"/>
      <w:r w:rsidRPr="00B95FC3">
        <w:rPr>
          <w:rFonts w:ascii="Times New Roman" w:eastAsia="Times New Roman" w:hAnsi="Times New Roman" w:cs="Times New Roman"/>
          <w:color w:val="212121"/>
          <w:shd w:val="clear" w:color="auto" w:fill="FFFFFF"/>
        </w:rPr>
        <w:t>Kotzé</w:t>
      </w:r>
      <w:proofErr w:type="spellEnd"/>
      <w:r w:rsidRPr="00B95FC3">
        <w:rPr>
          <w:rFonts w:ascii="Times New Roman" w:eastAsia="Times New Roman" w:hAnsi="Times New Roman" w:cs="Times New Roman"/>
          <w:color w:val="212121"/>
          <w:shd w:val="clear" w:color="auto" w:fill="FFFFFF"/>
        </w:rPr>
        <w:t xml:space="preserve">, C., &amp; </w:t>
      </w:r>
      <w:proofErr w:type="spellStart"/>
      <w:r w:rsidRPr="00B95FC3">
        <w:rPr>
          <w:rFonts w:ascii="Times New Roman" w:eastAsia="Times New Roman" w:hAnsi="Times New Roman" w:cs="Times New Roman"/>
          <w:color w:val="212121"/>
          <w:shd w:val="clear" w:color="auto" w:fill="FFFFFF"/>
        </w:rPr>
        <w:t>Roos</w:t>
      </w:r>
      <w:proofErr w:type="spellEnd"/>
      <w:r w:rsidRPr="00B95FC3">
        <w:rPr>
          <w:rFonts w:ascii="Times New Roman" w:eastAsia="Times New Roman" w:hAnsi="Times New Roman" w:cs="Times New Roman"/>
          <w:color w:val="212121"/>
          <w:shd w:val="clear" w:color="auto" w:fill="FFFFFF"/>
        </w:rPr>
        <w:t xml:space="preserve">, J. L. (2022). Ageism, human </w:t>
      </w:r>
      <w:proofErr w:type="gramStart"/>
      <w:r w:rsidRPr="00B95FC3">
        <w:rPr>
          <w:rFonts w:ascii="Times New Roman" w:eastAsia="Times New Roman" w:hAnsi="Times New Roman" w:cs="Times New Roman"/>
          <w:color w:val="212121"/>
          <w:shd w:val="clear" w:color="auto" w:fill="FFFFFF"/>
        </w:rPr>
        <w:t>rights</w:t>
      </w:r>
      <w:proofErr w:type="gramEnd"/>
      <w:r w:rsidRPr="00B95FC3">
        <w:rPr>
          <w:rFonts w:ascii="Times New Roman" w:eastAsia="Times New Roman" w:hAnsi="Times New Roman" w:cs="Times New Roman"/>
          <w:color w:val="212121"/>
          <w:shd w:val="clear" w:color="auto" w:fill="FFFFFF"/>
        </w:rPr>
        <w:t xml:space="preserve"> and ethical aspects of end-of-life care for older people with serious mental illness. </w:t>
      </w:r>
      <w:r w:rsidRPr="00B95FC3">
        <w:rPr>
          <w:rFonts w:ascii="Times New Roman" w:eastAsia="Times New Roman" w:hAnsi="Times New Roman" w:cs="Times New Roman"/>
          <w:i/>
          <w:iCs/>
          <w:color w:val="212121"/>
          <w:shd w:val="clear" w:color="auto" w:fill="FFFFFF"/>
        </w:rPr>
        <w:t>Frontiers in psychiatry</w:t>
      </w:r>
      <w:r w:rsidRPr="00B95FC3">
        <w:rPr>
          <w:rFonts w:ascii="Times New Roman" w:eastAsia="Times New Roman" w:hAnsi="Times New Roman" w:cs="Times New Roman"/>
          <w:color w:val="212121"/>
          <w:shd w:val="clear" w:color="auto" w:fill="FFFFFF"/>
        </w:rPr>
        <w:t xml:space="preserve">, </w:t>
      </w:r>
      <w:r w:rsidRPr="00B95FC3">
        <w:rPr>
          <w:rFonts w:ascii="Times New Roman" w:eastAsia="Times New Roman" w:hAnsi="Times New Roman" w:cs="Times New Roman"/>
          <w:i/>
          <w:iCs/>
          <w:color w:val="212121"/>
          <w:shd w:val="clear" w:color="auto" w:fill="FFFFFF"/>
        </w:rPr>
        <w:t>13</w:t>
      </w:r>
      <w:r w:rsidRPr="00B95FC3">
        <w:rPr>
          <w:rFonts w:ascii="Times New Roman" w:eastAsia="Times New Roman" w:hAnsi="Times New Roman" w:cs="Times New Roman"/>
          <w:color w:val="212121"/>
          <w:shd w:val="clear" w:color="auto" w:fill="FFFFFF"/>
        </w:rPr>
        <w:t xml:space="preserve">, 906873. </w:t>
      </w:r>
      <w:hyperlink r:id="rId5" w:history="1">
        <w:r w:rsidRPr="00B95FC3">
          <w:rPr>
            <w:rFonts w:ascii="Times New Roman" w:eastAsia="Times New Roman" w:hAnsi="Times New Roman" w:cs="Times New Roman"/>
            <w:color w:val="1155CC"/>
            <w:u w:val="single"/>
            <w:shd w:val="clear" w:color="auto" w:fill="FFFFFF"/>
          </w:rPr>
          <w:t>https://doi.org/10.3389/fpsyt.2022.906873</w:t>
        </w:r>
      </w:hyperlink>
    </w:p>
    <w:p w14:paraId="56170905" w14:textId="77777777" w:rsidR="00B95FC3" w:rsidRPr="00B95FC3" w:rsidRDefault="00B95FC3" w:rsidP="00B95FC3">
      <w:pPr>
        <w:spacing w:line="480" w:lineRule="auto"/>
        <w:ind w:left="720" w:hanging="720"/>
        <w:rPr>
          <w:rFonts w:ascii="Times New Roman" w:eastAsia="Times New Roman" w:hAnsi="Times New Roman" w:cs="Times New Roman"/>
          <w:color w:val="000000"/>
        </w:rPr>
      </w:pPr>
      <w:proofErr w:type="spellStart"/>
      <w:r w:rsidRPr="00B95FC3">
        <w:rPr>
          <w:rFonts w:ascii="Times New Roman" w:eastAsia="Times New Roman" w:hAnsi="Times New Roman" w:cs="Times New Roman"/>
          <w:color w:val="212121"/>
          <w:shd w:val="clear" w:color="auto" w:fill="FFFFFF"/>
        </w:rPr>
        <w:t>Lehmiller</w:t>
      </w:r>
      <w:proofErr w:type="spellEnd"/>
      <w:r w:rsidRPr="00B95FC3">
        <w:rPr>
          <w:rFonts w:ascii="Times New Roman" w:eastAsia="Times New Roman" w:hAnsi="Times New Roman" w:cs="Times New Roman"/>
          <w:color w:val="212121"/>
          <w:shd w:val="clear" w:color="auto" w:fill="FFFFFF"/>
        </w:rPr>
        <w:t xml:space="preserve">, J., Whitbourne, Stacey B., &amp; Whitbourne, Susan K.(2021). </w:t>
      </w:r>
      <w:r w:rsidRPr="00B95FC3">
        <w:rPr>
          <w:rFonts w:ascii="Times New Roman" w:eastAsia="Times New Roman" w:hAnsi="Times New Roman" w:cs="Times New Roman"/>
          <w:i/>
          <w:iCs/>
          <w:color w:val="212121"/>
        </w:rPr>
        <w:t xml:space="preserve">Human sexuality and issues in </w:t>
      </w:r>
      <w:proofErr w:type="spellStart"/>
      <w:r w:rsidRPr="00B95FC3">
        <w:rPr>
          <w:rFonts w:ascii="Times New Roman" w:eastAsia="Times New Roman" w:hAnsi="Times New Roman" w:cs="Times New Roman"/>
          <w:i/>
          <w:iCs/>
          <w:color w:val="212121"/>
        </w:rPr>
        <w:t>aging,</w:t>
      </w:r>
      <w:r w:rsidRPr="00B95FC3">
        <w:rPr>
          <w:rFonts w:ascii="Times New Roman" w:eastAsia="Times New Roman" w:hAnsi="Times New Roman" w:cs="Times New Roman"/>
          <w:color w:val="212121"/>
        </w:rPr>
        <w:t>Grand</w:t>
      </w:r>
      <w:proofErr w:type="spellEnd"/>
      <w:r w:rsidRPr="00B95FC3">
        <w:rPr>
          <w:rFonts w:ascii="Times New Roman" w:eastAsia="Times New Roman" w:hAnsi="Times New Roman" w:cs="Times New Roman"/>
          <w:color w:val="212121"/>
        </w:rPr>
        <w:t xml:space="preserve"> Canyon University</w:t>
      </w:r>
      <w:r w:rsidRPr="00B95FC3">
        <w:rPr>
          <w:rFonts w:ascii="Times New Roman" w:eastAsia="Times New Roman" w:hAnsi="Times New Roman" w:cs="Times New Roman"/>
          <w:color w:val="212121"/>
          <w:shd w:val="clear" w:color="auto" w:fill="FFFFFF"/>
        </w:rPr>
        <w:t xml:space="preserve"> (2nd ed.) John Wiley &amp; </w:t>
      </w:r>
      <w:proofErr w:type="spellStart"/>
      <w:r w:rsidRPr="00B95FC3">
        <w:rPr>
          <w:rFonts w:ascii="Times New Roman" w:eastAsia="Times New Roman" w:hAnsi="Times New Roman" w:cs="Times New Roman"/>
          <w:color w:val="212121"/>
          <w:shd w:val="clear" w:color="auto" w:fill="FFFFFF"/>
        </w:rPr>
        <w:t>Sons,Inc</w:t>
      </w:r>
      <w:proofErr w:type="spellEnd"/>
      <w:r w:rsidRPr="00B95FC3">
        <w:rPr>
          <w:rFonts w:ascii="Times New Roman" w:eastAsia="Times New Roman" w:hAnsi="Times New Roman" w:cs="Times New Roman"/>
          <w:color w:val="212121"/>
          <w:shd w:val="clear" w:color="auto" w:fill="FFFFFF"/>
        </w:rPr>
        <w:t>.</w:t>
      </w:r>
    </w:p>
    <w:p w14:paraId="75DCFDCA" w14:textId="4CC1DD9B" w:rsidR="00941ACC" w:rsidRPr="00B95FC3" w:rsidRDefault="00B95FC3" w:rsidP="00B95FC3">
      <w:pPr>
        <w:spacing w:line="480" w:lineRule="auto"/>
        <w:ind w:left="720" w:hanging="720"/>
        <w:rPr>
          <w:rFonts w:ascii="Times New Roman" w:hAnsi="Times New Roman" w:cs="Times New Roman"/>
        </w:rPr>
      </w:pPr>
      <w:r w:rsidRPr="00B95FC3">
        <w:rPr>
          <w:rFonts w:ascii="Times New Roman" w:eastAsia="Times New Roman" w:hAnsi="Times New Roman" w:cs="Times New Roman"/>
          <w:color w:val="212121"/>
          <w:shd w:val="clear" w:color="auto" w:fill="FFFFFF"/>
        </w:rPr>
        <w:t xml:space="preserve">Quigley, R., Russell, S. G., Larkins, S., Taylor, S., </w:t>
      </w:r>
      <w:proofErr w:type="spellStart"/>
      <w:r w:rsidRPr="00B95FC3">
        <w:rPr>
          <w:rFonts w:ascii="Times New Roman" w:eastAsia="Times New Roman" w:hAnsi="Times New Roman" w:cs="Times New Roman"/>
          <w:color w:val="212121"/>
          <w:shd w:val="clear" w:color="auto" w:fill="FFFFFF"/>
        </w:rPr>
        <w:t>Sagigi</w:t>
      </w:r>
      <w:proofErr w:type="spellEnd"/>
      <w:r w:rsidRPr="00B95FC3">
        <w:rPr>
          <w:rFonts w:ascii="Times New Roman" w:eastAsia="Times New Roman" w:hAnsi="Times New Roman" w:cs="Times New Roman"/>
          <w:color w:val="212121"/>
          <w:shd w:val="clear" w:color="auto" w:fill="FFFFFF"/>
        </w:rPr>
        <w:t xml:space="preserve">, B., </w:t>
      </w:r>
      <w:proofErr w:type="spellStart"/>
      <w:r w:rsidRPr="00B95FC3">
        <w:rPr>
          <w:rFonts w:ascii="Times New Roman" w:eastAsia="Times New Roman" w:hAnsi="Times New Roman" w:cs="Times New Roman"/>
          <w:color w:val="212121"/>
          <w:shd w:val="clear" w:color="auto" w:fill="FFFFFF"/>
        </w:rPr>
        <w:t>Strivens</w:t>
      </w:r>
      <w:proofErr w:type="spellEnd"/>
      <w:r w:rsidRPr="00B95FC3">
        <w:rPr>
          <w:rFonts w:ascii="Times New Roman" w:eastAsia="Times New Roman" w:hAnsi="Times New Roman" w:cs="Times New Roman"/>
          <w:color w:val="212121"/>
          <w:shd w:val="clear" w:color="auto" w:fill="FFFFFF"/>
        </w:rPr>
        <w:t>, E., &amp; Redman-</w:t>
      </w:r>
      <w:proofErr w:type="spellStart"/>
      <w:r w:rsidRPr="00B95FC3">
        <w:rPr>
          <w:rFonts w:ascii="Times New Roman" w:eastAsia="Times New Roman" w:hAnsi="Times New Roman" w:cs="Times New Roman"/>
          <w:color w:val="212121"/>
          <w:shd w:val="clear" w:color="auto" w:fill="FFFFFF"/>
        </w:rPr>
        <w:t>MacLaren</w:t>
      </w:r>
      <w:proofErr w:type="spellEnd"/>
      <w:r w:rsidRPr="00B95FC3">
        <w:rPr>
          <w:rFonts w:ascii="Times New Roman" w:eastAsia="Times New Roman" w:hAnsi="Times New Roman" w:cs="Times New Roman"/>
          <w:color w:val="212121"/>
          <w:shd w:val="clear" w:color="auto" w:fill="FFFFFF"/>
        </w:rPr>
        <w:t xml:space="preserve">, M. (2022). Aging Well for Indigenous Peoples: A Scoping Review. </w:t>
      </w:r>
      <w:r w:rsidRPr="00B95FC3">
        <w:rPr>
          <w:rFonts w:ascii="Times New Roman" w:eastAsia="Times New Roman" w:hAnsi="Times New Roman" w:cs="Times New Roman"/>
          <w:i/>
          <w:iCs/>
          <w:color w:val="212121"/>
        </w:rPr>
        <w:t>Frontiers in public health</w:t>
      </w:r>
      <w:r w:rsidRPr="00B95FC3">
        <w:rPr>
          <w:rFonts w:ascii="Times New Roman" w:eastAsia="Times New Roman" w:hAnsi="Times New Roman" w:cs="Times New Roman"/>
          <w:color w:val="212121"/>
          <w:shd w:val="clear" w:color="auto" w:fill="FFFFFF"/>
        </w:rPr>
        <w:t xml:space="preserve">, </w:t>
      </w:r>
      <w:r w:rsidRPr="00B95FC3">
        <w:rPr>
          <w:rFonts w:ascii="Times New Roman" w:eastAsia="Times New Roman" w:hAnsi="Times New Roman" w:cs="Times New Roman"/>
          <w:i/>
          <w:iCs/>
          <w:color w:val="212121"/>
        </w:rPr>
        <w:t>10</w:t>
      </w:r>
      <w:r w:rsidRPr="00B95FC3">
        <w:rPr>
          <w:rFonts w:ascii="Times New Roman" w:eastAsia="Times New Roman" w:hAnsi="Times New Roman" w:cs="Times New Roman"/>
          <w:color w:val="212121"/>
          <w:shd w:val="clear" w:color="auto" w:fill="FFFFFF"/>
        </w:rPr>
        <w:t>, 780898. https://doi.org/10.3389/fpubh.2022.780898</w:t>
      </w:r>
    </w:p>
    <w:p w14:paraId="0B5ED22E" w14:textId="77777777" w:rsidR="00B95FC3" w:rsidRPr="00B95FC3" w:rsidRDefault="00B95FC3">
      <w:pPr>
        <w:spacing w:line="480" w:lineRule="auto"/>
        <w:ind w:left="720" w:hanging="720"/>
        <w:rPr>
          <w:rFonts w:ascii="Times New Roman" w:hAnsi="Times New Roman" w:cs="Times New Roman"/>
        </w:rPr>
      </w:pPr>
    </w:p>
    <w:sectPr w:rsidR="00B95FC3" w:rsidRPr="00B95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FC3"/>
    <w:rsid w:val="009237FF"/>
    <w:rsid w:val="00941ACC"/>
    <w:rsid w:val="00B4528B"/>
    <w:rsid w:val="00B81B24"/>
    <w:rsid w:val="00B9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819582"/>
  <w15:chartTrackingRefBased/>
  <w15:docId w15:val="{F08C7B9A-6339-6C40-89FC-71C3CCC8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FC3"/>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B95FC3"/>
  </w:style>
  <w:style w:type="character" w:styleId="Hyperlink">
    <w:name w:val="Hyperlink"/>
    <w:basedOn w:val="DefaultParagraphFont"/>
    <w:uiPriority w:val="99"/>
    <w:semiHidden/>
    <w:unhideWhenUsed/>
    <w:rsid w:val="00B95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3389/fpsyt.2022.906873" TargetMode="External"/><Relationship Id="rId4" Type="http://schemas.openxmlformats.org/officeDocument/2006/relationships/hyperlink" Target="https://www.apa.org/pi/aging/resources/guides/practitioners-should-kn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1256</Words>
  <Characters>7162</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1</cp:revision>
  <dcterms:created xsi:type="dcterms:W3CDTF">2026-05-31T05:48:00Z</dcterms:created>
  <dcterms:modified xsi:type="dcterms:W3CDTF">2026-05-31T05:55:00Z</dcterms:modified>
</cp:coreProperties>
</file>